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São Paulo,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05 de fevereiro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REQUERIMENTO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 lançamento do programa “Corujão da Saúde” divulgado amplamente em diversas mídias no dia 21 de janeiro de 2020;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que as matérias afirmam que</w:t>
      </w: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rtl w:val="0"/>
        </w:rPr>
        <w:t xml:space="preserve"> cinco hospitais da própria prefeitura,  ganharam equipamentos novos e passarão a atender 24 horas. Sendo essas unidades o Hospital Municipal do Tatuapé, Hospital Municipal Arthur Saboya, Hospital Municipal Dr. Inácio Proença de Golveia e Hospital Municipal do Campo Limpo;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REQUEIRO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que esta Douta Comissão Permanente de Saúde, Promoção Social, Trabalho e Mulher, nos termos do Regimento Interno da Câmara Municipal de São Paulo (Resolução nº 2, de 26 de Abril de 1991), que seja oficiada a Secretaria Municipal de Saúde (SMS), na figura do Secretário Municipal de Educação, o Sr. Edson Aparecido, para que esclareça as seguintes dúvidas: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Como funcionará o programa?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Quais são as metas do programa e o cronograma de execução?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Quais serão as métricas de avaliação do programa?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que o Hospital do Servidor Público Municipal - HSPM não foi incluído no programa?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="36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Quais serão os hospitais particulares que participarão do programa? E quais serviços serão realizados nessas parcerias?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720"/>
        <w:jc w:val="center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720"/>
        <w:jc w:val="center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720"/>
        <w:jc w:val="center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720"/>
        <w:jc w:val="center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12">
      <w:pPr>
        <w:spacing w:line="360" w:lineRule="auto"/>
        <w:ind w:left="720"/>
        <w:jc w:val="center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Vereador Celso Giannazi</w:t>
      </w:r>
    </w:p>
    <w:p w:rsidR="00000000" w:rsidDel="00000000" w:rsidP="00000000" w:rsidRDefault="00000000" w:rsidRPr="00000000" w14:paraId="00000013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/>
      <w:pgMar w:bottom="1134" w:top="2834.645669291339" w:left="1418" w:right="1418" w:header="27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TC Zapf Chance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082"/>
        <w:tab w:val="right" w:pos="9071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Gabinete vereador Celso Giannazi – PSOL</w:t>
      <w:br w:type="textWrapping"/>
      <w:t xml:space="preserve">Palácio Anchieta, Viaduto Jacareí, nº 100 – 43º GV – sala 1006, São Paulo – SP - CEP 01319-900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Telefone: (11) 3396-4305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celsogiannazi@saopaulo.sp.leg.br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left" w:pos="5560"/>
        <w:tab w:val="right" w:pos="9071"/>
      </w:tabs>
      <w:jc w:val="center"/>
      <w:rPr>
        <w:rFonts w:ascii="ITC Zapf Chancery" w:cs="ITC Zapf Chancery" w:eastAsia="ITC Zapf Chancery" w:hAnsi="ITC Zapf Chancery"/>
        <w:i w:val="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2009775</wp:posOffset>
          </wp:positionH>
          <wp:positionV relativeFrom="paragraph">
            <wp:posOffset>-47624</wp:posOffset>
          </wp:positionV>
          <wp:extent cx="1405921" cy="1119188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5921" cy="11191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left" w:pos="5560"/>
        <w:tab w:val="right" w:pos="9071"/>
      </w:tabs>
      <w:jc w:val="center"/>
      <w:rPr/>
    </w:pPr>
    <w:r w:rsidDel="00000000" w:rsidR="00000000" w:rsidRPr="00000000">
      <w:rPr>
        <w:rFonts w:ascii="ITC Zapf Chancery" w:cs="ITC Zapf Chancery" w:eastAsia="ITC Zapf Chancery" w:hAnsi="ITC Zapf Chancery"/>
        <w:i w:val="1"/>
        <w:rtl w:val="0"/>
      </w:rPr>
      <w:t xml:space="preserve">Gabinete do vereador Celso Giannazi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19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extodenotaderodapéChar">
    <w:name w:val="Texto de nota de rodapé Char"/>
    <w:basedOn w:val="Fonteparág.padrão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titulo-cmt">
    <w:name w:val="titulo-cmt"/>
    <w:next w:val="titulo-cm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ubtl-cmt">
    <w:name w:val="subtl-cmt"/>
    <w:next w:val="subtl-cm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c3FR251pQ8D52LqqA56N2pTW3A==">AMUW2mUcy8211reeUqKb8vDGSTsv3/wAAygO3m/eKcrkNv4Wz5joOW7upNmcp/TOReCGQSJAUh10Q6OyuO9Pp852WmzcAF9A2m7Eaidcwdcl3+GJk4MAgtk=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2018-08-16T15:40:00Z</dcterms:created>
  <dc:creator>v010925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-760881738</vt:i4>
  </property>
  <property fmtid="{D5CDD505-2E9C-101B-9397-08002B2CF9AE}" pid="3" name="_EmailSubject">
    <vt:lpstr>Correção para o modelo de papel timbrado</vt:lpstr>
  </property>
  <property fmtid="{D5CDD505-2E9C-101B-9397-08002B2CF9AE}" pid="4" name="_AuthorEmail">
    <vt:lpstr>comunica@camara.sp.gov.br</vt:lpstr>
  </property>
  <property fmtid="{D5CDD505-2E9C-101B-9397-08002B2CF9AE}" pid="5" name="_AuthorEmailDisplayName">
    <vt:lpstr>CCI-3 - Supervisão de Comunicação</vt:lpstr>
  </property>
  <property fmtid="{D5CDD505-2E9C-101B-9397-08002B2CF9AE}" pid="6" name="_ReviewingToolsShownOnce">
    <vt:lpstr/>
  </property>
</Properties>
</file>